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jc w:val="left"/>
      </w:pPr>
      <w:r>
        <w:rPr>
          <w:b/>
          <w:bCs/>
          <w:sz w:val="36"/>
          <w:szCs w:val="36"/>
        </w:rPr>
        <w:t xml:space="preserve">MTCS-R</w:t>
      </w:r>
    </w:p>
    <w:p>
      <w:pPr>
        <w:spacing w:after="80" w:before="0"/>
      </w:pPr>
      <w:r>
        <w:rPr>
          <w:b/>
          <w:bCs/>
          <w:sz w:val="28"/>
          <w:szCs w:val="28"/>
        </w:rPr>
        <w:t xml:space="preserve">SF0004 Companion Material</w:t>
      </w:r>
    </w:p>
    <w:p>
      <w:pPr>
        <w:spacing w:after="240" w:before="0"/>
      </w:pPr>
      <w:r>
        <w:rPr>
          <w:b/>
          <w:bCs/>
          <w:sz w:val="32"/>
          <w:szCs w:val="32"/>
        </w:rPr>
        <w:t xml:space="preserve">Rater Training Packet</w:t>
      </w:r>
    </w:p>
    <w:p>
      <w:pPr>
        <w:spacing w:after="80" w:before="80" w:line="300"/>
      </w:pPr>
      <w:r>
        <w:rPr>
          <w:b/>
          <w:bCs/>
        </w:rPr>
        <w:t xml:space="preserve">Author:</w:t>
      </w:r>
      <w:r>
        <w:t xml:space="preserve"> Thomas W. Gantz  |  Synthience Institute</w:t>
      </w:r>
    </w:p>
    <w:p>
      <w:pPr>
        <w:spacing w:after="80" w:before="80" w:line="300"/>
      </w:pPr>
      <w:r>
        <w:rPr>
          <w:b/>
          <w:bCs/>
        </w:rPr>
        <w:t xml:space="preserve">Version:</w:t>
      </w:r>
      <w:r>
        <w:t xml:space="preserve"> v3.4  |  May 2026</w:t>
      </w:r>
    </w:p>
    <w:p>
      <w:pPr>
        <w:spacing w:after="80" w:before="80" w:line="300"/>
      </w:pPr>
      <w:r>
        <w:rPr>
          <w:b/>
          <w:bCs/>
        </w:rPr>
        <w:t xml:space="preserve">Contact:</w:t>
      </w:r>
      <w:r>
        <w:t xml:space="preserve"> research@synthience.org</w:t>
      </w:r>
    </w:p>
    <w:p>
      <w:pPr>
        <w:spacing w:after="80" w:before="80" w:line="300"/>
      </w:pPr>
      <w:r>
        <w:rPr>
          <w:b/>
          <w:bCs/>
        </w:rPr>
        <w:t xml:space="preserve">Parent Document:</w:t>
      </w:r>
      <w:r>
        <w:t xml:space="preserve"> SF0004, Measurement Instruments and Validation Protocols</w:t>
      </w:r>
    </w:p>
    <w:p>
      <w:pPr>
        <w:spacing w:after="80" w:before="80" w:line="300"/>
        <w:jc w:val="left"/>
      </w:pPr>
      <w:r>
        <w:t xml:space="preserve"/>
      </w:r>
    </w:p>
    <w:p>
      <w:pPr>
        <w:pStyle w:val="Heading1"/>
      </w:pPr>
      <w:r>
        <w:t xml:space="preserve">1. Introduction to MTCS-R</w:t>
      </w:r>
    </w:p>
    <w:p>
      <w:pPr>
        <w:spacing w:after="80" w:before="80" w:line="300"/>
        <w:jc w:val="left"/>
      </w:pPr>
      <w:r>
        <w:t xml:space="preserve">The Multi-Turn Coherence Scale, Revised (MTCS-R) is a measurement instrument for evaluating longitudinal coherence in extended human-AI interactions. It provides five behaviorally anchored dimensions for assessing the coherence of observable dyadic interaction traces across exchanges exceeding 20 participant turns (normally equivalent to at least 10 complete user-AI exchanges).</w:t>
      </w:r>
    </w:p>
    <w:p>
      <w:pPr>
        <w:spacing w:after="80" w:before="80" w:line="300"/>
      </w:pPr>
      <w:r>
        <w:rPr>
          <w:b/>
          <w:bCs/>
        </w:rPr>
        <w:t xml:space="preserve">Purpose of this training:</w:t>
      </w:r>
      <w:r>
        <w:t xml:space="preserve"> Learn to apply MTCS-R dimensions consistently, understand behavioral anchors for each dimension (1-5 scale), practice scoring with annotated examples, and achieve inter-rater reliability through calibration.</w:t>
      </w:r>
    </w:p>
    <w:p>
      <w:pPr>
        <w:pStyle w:val="Heading2"/>
      </w:pPr>
      <w:r>
        <w:t xml:space="preserve">The Five Dimensions</w:t>
      </w:r>
    </w:p>
    <w:p>
      <w:pPr>
        <w:pStyle w:val="ListParagraph"/>
        <w:numPr>
          <w:ilvl w:val="0"/>
          <w:numId w:val="2"/>
        </w:numPr>
        <w:spacing w:after="40" w:before="40" w:line="280"/>
      </w:pPr>
      <w:r>
        <w:rPr>
          <w:b/>
          <w:bCs/>
        </w:rPr>
        <w:t xml:space="preserve">D1. Thematic Persistence:</w:t>
      </w:r>
      <w:r>
        <w:t xml:space="preserve"> Maintenance of intended topic trajectory across turns</w:t>
      </w:r>
    </w:p>
    <w:p>
      <w:pPr>
        <w:pStyle w:val="ListParagraph"/>
        <w:numPr>
          <w:ilvl w:val="0"/>
          <w:numId w:val="2"/>
        </w:numPr>
        <w:spacing w:after="40" w:before="40" w:line="280"/>
      </w:pPr>
      <w:r>
        <w:rPr>
          <w:b/>
          <w:bCs/>
        </w:rPr>
        <w:t xml:space="preserve">D2. Contextual Integration Depth:</w:t>
      </w:r>
      <w:r>
        <w:t xml:space="preserve"> Incorporation of information from earlier turns</w:t>
      </w:r>
    </w:p>
    <w:p>
      <w:pPr>
        <w:pStyle w:val="ListParagraph"/>
        <w:numPr>
          <w:ilvl w:val="0"/>
          <w:numId w:val="2"/>
        </w:numPr>
        <w:spacing w:after="40" w:before="40" w:line="280"/>
      </w:pPr>
      <w:r>
        <w:rPr>
          <w:b/>
          <w:bCs/>
        </w:rPr>
        <w:t xml:space="preserve">D3. Register Homeostasis:</w:t>
      </w:r>
      <w:r>
        <w:t xml:space="preserve"> Bounded adaptive stability of tone, style, and discourse mode</w:t>
      </w:r>
    </w:p>
    <w:p>
      <w:pPr>
        <w:pStyle w:val="ListParagraph"/>
        <w:numPr>
          <w:ilvl w:val="0"/>
          <w:numId w:val="2"/>
        </w:numPr>
        <w:spacing w:after="40" w:before="40" w:line="280"/>
      </w:pPr>
      <w:r>
        <w:rPr>
          <w:b/>
          <w:bCs/>
        </w:rPr>
        <w:t xml:space="preserve">D4. Meta-Conversational Structuring:</w:t>
      </w:r>
      <w:r>
        <w:t xml:space="preserve"> Observable maintenance and organization of conversation structure or trajectory</w:t>
      </w:r>
    </w:p>
    <w:p>
      <w:pPr>
        <w:pStyle w:val="ListParagraph"/>
        <w:numPr>
          <w:ilvl w:val="0"/>
          <w:numId w:val="2"/>
        </w:numPr>
        <w:spacing w:after="40" w:before="40" w:line="280"/>
      </w:pPr>
      <w:r>
        <w:rPr>
          <w:b/>
          <w:bCs/>
        </w:rPr>
        <w:t xml:space="preserve">D5. Epistemic Calibration:</w:t>
      </w:r>
      <w:r>
        <w:t xml:space="preserve"> Fit between epistemic status of claims and their confidence/uncertainty marking</w:t>
      </w:r>
    </w:p>
    <w:p>
      <w:pPr>
        <w:spacing w:after="80" w:before="80" w:line="300"/>
        <w:jc w:val="left"/>
      </w:pPr>
      <w:r>
        <w:t xml:space="preserve"/>
      </w:r>
    </w:p>
    <w:p>
      <w:pPr>
        <w:pStyle w:val="Heading1"/>
      </w:pPr>
      <w:r>
        <w:t xml:space="preserve">2. Dimension Definitions and Behavioral Anchors</w:t>
      </w:r>
    </w:p>
    <w:p>
      <w:pPr>
        <w:spacing w:after="120" w:before="80" w:line="300"/>
        <w:jc w:val="left"/>
      </w:pPr>
      <w:r>
        <w:rPr>
          <w:i/>
          <w:iCs/>
        </w:rPr>
        <w:t xml:space="preserve">Note: Dimension intros below are operational summaries for raters. Full theoretical context, citations (including Communication Accommodation Theory for D3 and the discussion of epistemic stance marking and D5's categorical difference from D1-D4), and additional construct-level discussion are in SF0004 Section 4.</w:t>
      </w:r>
    </w:p>
    <w:p>
      <w:pPr>
        <w:pStyle w:val="Heading2"/>
      </w:pPr>
      <w:r>
        <w:t xml:space="preserve">D1. Thematic Persistence</w:t>
      </w:r>
    </w:p>
    <w:p>
      <w:pPr>
        <w:spacing w:after="80" w:before="80" w:line="300"/>
        <w:jc w:val="left"/>
      </w:pPr>
      <w:r>
        <w:t xml:space="preserve">Extent to which the interaction maintains its intended topic trajectory across turns. The primary signal is sustained topical continuity with natural evolution rather than rigid repetition.</w:t>
      </w:r>
    </w:p>
    <w:p>
      <w:pPr>
        <w:spacing w:after="80" w:before="80" w:line="300"/>
      </w:pPr>
      <w:r>
        <w:rPr>
          <w:b/>
          <w:bCs/>
        </w:rPr>
        <w:t xml:space="preserve">Topic-trajectory decision rule for raters:</w:t>
      </w:r>
      <w:r>
        <w:t xml:space="preserve"> The intended topic trajectory should be inferred from the interaction's explicit task framing, the user's stated goals, subsequent user corrections or refinements, and any mutually established agenda within the transcript. Topic change should not be penalized when it is user-directed, task-necessary, or naturally entailed by the developing interaction. It should be treated as drift when the interaction departs from the established trajectory without user authorization, task justification, or later recovery.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
        <w:gridCol w:w="2160"/>
        <w:gridCol w:w="6480"/>
      </w:tblGrid>
      <w:tr>
        <w:trPr>
          <w:cantSplit/>
          <w:tblHeader/>
        </w:trPr>
        <w:tc>
          <w:tcPr>
            <w:tcW w:type="dxa" w:w="72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Score</w:t>
            </w:r>
          </w:p>
        </w:tc>
        <w:tc>
          <w:tcPr>
            <w:tcW w:type="dxa" w:w="216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Descriptor</w:t>
            </w:r>
          </w:p>
        </w:tc>
        <w:tc>
          <w:tcPr>
            <w:tcW w:type="dxa" w:w="648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Behavioral Anchor</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1</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Topic Abandoned</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Conversation shifts to unrelated topics within 3-5 turns; original subject not recovered</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2</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Weak Persistence</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Topic drifts frequently (every 5-8 turns); requires repeated user redirection</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3</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Moderate Persistence</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Topic maintained with occasional relevant tangents; recovers when prompted</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4</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Strong Persistence</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Consistent thematic focus with natural evolution; minor drift self-corrected</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5</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Exceptional Persistence</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Sustained coherent development across entire conversation; clear narrative arc</w:t>
            </w:r>
          </w:p>
        </w:tc>
      </w:tr>
    </w:tbl>
    <w:p>
      <w:pPr>
        <w:spacing w:after="80" w:before="80" w:line="300"/>
        <w:jc w:val="left"/>
      </w:pPr>
      <w:r>
        <w:t xml:space="preserve"/>
      </w:r>
    </w:p>
    <w:p>
      <w:pPr>
        <w:pStyle w:val="Heading2"/>
      </w:pPr>
      <w:r>
        <w:t xml:space="preserve">D2. Contextual Integration Depth</w:t>
      </w:r>
    </w:p>
    <w:p>
      <w:pPr>
        <w:spacing w:after="80" w:before="80" w:line="300"/>
        <w:jc w:val="left"/>
      </w:pPr>
      <w:r>
        <w:t xml:space="preserve">Extent to which later turns incorporate and synthesize earlier content. The primary signal is cross-turn referencing and synthesis demonstrating cumulative understanding. Contextual Integration Depth is distinct from Thematic Persistence: integration without strict thematic persistence is possible, and persistence without integration is common.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
        <w:gridCol w:w="2160"/>
        <w:gridCol w:w="6480"/>
      </w:tblGrid>
      <w:tr>
        <w:trPr>
          <w:cantSplit/>
          <w:tblHeader/>
        </w:trPr>
        <w:tc>
          <w:tcPr>
            <w:tcW w:type="dxa" w:w="72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Score</w:t>
            </w:r>
          </w:p>
        </w:tc>
        <w:tc>
          <w:tcPr>
            <w:tcW w:type="dxa" w:w="216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Descriptor</w:t>
            </w:r>
          </w:p>
        </w:tc>
        <w:tc>
          <w:tcPr>
            <w:tcW w:type="dxa" w:w="648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Behavioral Anchor</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1</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No Integration</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Responses treat each turn as independent; repeated requests for information already provided</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2</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Surface Integration</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Occasional reference to preceding turn (1-2 back); primarily reactive</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3</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Moderate Integration</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Regular reference to information from 3-5 turns prior; some synthesis</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4</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Strong Integration</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Consistent incorporation of details from 5-10+ turns prior; cumulative understanding</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5</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Deep Integration</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Sophisticated synthesis across entire conversation; holistic grasp of context</w:t>
            </w:r>
          </w:p>
        </w:tc>
      </w:tr>
    </w:tbl>
    <w:p>
      <w:pPr>
        <w:spacing w:after="80" w:before="80" w:line="300"/>
        <w:jc w:val="left"/>
      </w:pPr>
      <w:r>
        <w:t xml:space="preserve"/>
      </w:r>
    </w:p>
    <w:p>
      <w:pPr>
        <w:pStyle w:val="Heading2"/>
      </w:pPr>
      <w:r>
        <w:t xml:space="preserve">D3. Register Homeostasis</w:t>
      </w:r>
    </w:p>
    <w:p>
      <w:pPr>
        <w:spacing w:after="80" w:before="80" w:line="300"/>
        <w:jc w:val="left"/>
      </w:pPr>
      <w:r>
        <w:t xml:space="preserve">Stability and appropriateness of communicative style across turns. The primary signal is bounded adaptive stability: the interaction maintains a recognizable communicative register while modulating appropriately in response to task phase, user need, domain, and discourse function. Register Homeostasis is analytically separable from topic or integration; an interaction may maintain register stability while drifting thematically or failing to integrate prior content.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
        <w:gridCol w:w="2160"/>
        <w:gridCol w:w="6480"/>
      </w:tblGrid>
      <w:tr>
        <w:trPr>
          <w:cantSplit/>
          <w:tblHeader/>
        </w:trPr>
        <w:tc>
          <w:tcPr>
            <w:tcW w:type="dxa" w:w="72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Score</w:t>
            </w:r>
          </w:p>
        </w:tc>
        <w:tc>
          <w:tcPr>
            <w:tcW w:type="dxa" w:w="216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Descriptor</w:t>
            </w:r>
          </w:p>
        </w:tc>
        <w:tc>
          <w:tcPr>
            <w:tcW w:type="dxa" w:w="648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Behavioral Anchor</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1</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Unstable Register</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Dramatic shifts in formality or style every few turns; tone inappropriate to context</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2</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Weak Stability</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Noticeable register fluctuations; requires user correction</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3</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Moderate Stability</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Generally consistent with minor fluctuations; adapts appropriately when prompted</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4</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Strong Stability</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Consistent maintenance of appropriate register; smooth adaptation to nuance</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5</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Exceptional Stability</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Seamless register continuity with sophisticated, context-appropriate modulation across task phases</w:t>
            </w:r>
          </w:p>
        </w:tc>
      </w:tr>
    </w:tbl>
    <w:p>
      <w:pPr>
        <w:spacing w:after="80" w:before="80" w:line="300"/>
        <w:jc w:val="left"/>
      </w:pPr>
      <w:r>
        <w:t xml:space="preserve"/>
      </w:r>
    </w:p>
    <w:p>
      <w:pPr>
        <w:pStyle w:val="Heading2"/>
      </w:pPr>
      <w:r>
        <w:t xml:space="preserve">D4. Meta-Conversational Structuring</w:t>
      </w:r>
    </w:p>
    <w:p>
      <w:pPr>
        <w:spacing w:after="80" w:before="80" w:line="300"/>
        <w:jc w:val="left"/>
      </w:pPr>
      <w:r>
        <w:t xml:space="preserve">Observable maintenance and organization of the interaction itself. The primary signal is observable maintenance of conversation structure or trajectory, which may appear through explicit meta-commentary, organized thread tracking, structured transitions, or clear preservation of prior task stages. This dimension measures structural continuity of the discourse, not agency or self-awareness. The interpretation constraint is important: a system that produces meta-commentary such as 'building on our earlier discussion of X' is scored for the structural function of that utterance, with no inference about whether the system possesses awareness in any cognitive or phenomenological sense.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
        <w:gridCol w:w="2160"/>
        <w:gridCol w:w="6480"/>
      </w:tblGrid>
      <w:tr>
        <w:trPr>
          <w:cantSplit/>
          <w:tblHeader/>
        </w:trPr>
        <w:tc>
          <w:tcPr>
            <w:tcW w:type="dxa" w:w="72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Score</w:t>
            </w:r>
          </w:p>
        </w:tc>
        <w:tc>
          <w:tcPr>
            <w:tcW w:type="dxa" w:w="216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Descriptor</w:t>
            </w:r>
          </w:p>
        </w:tc>
        <w:tc>
          <w:tcPr>
            <w:tcW w:type="dxa" w:w="648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Behavioral Anchor</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1</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No Structural Continuity</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No observable maintenance of conversation structure; prior threads, stages, or commitments disappear, and the interaction functions as discrete Q&amp;A</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2</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Minimal Structural Continuity</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Rare or shallow preservation of conversational flow; prior threads are only weakly recoverable without user prompting</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3</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Moderate Structural Continuity</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Occasional preservation or marking of discussion threads; limited but recognizable navigation of prior structure</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4</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Strong Structural Continuity</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Regular preservation of conversational structure; prior threads, task stages, or established patterns are actively carried forward</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5</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Sophisticated Structural Continuity</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Sophisticated organization of conversational threads across long ranges, with explicit or implicit management of structure, dependencies, and unresolved elements</w:t>
            </w:r>
          </w:p>
        </w:tc>
      </w:tr>
    </w:tbl>
    <w:p>
      <w:pPr>
        <w:spacing w:after="80" w:before="80" w:line="300"/>
        <w:jc w:val="left"/>
      </w:pPr>
      <w:r>
        <w:t xml:space="preserve"/>
      </w:r>
    </w:p>
    <w:p>
      <w:pPr>
        <w:pStyle w:val="Heading2"/>
      </w:pPr>
      <w:r>
        <w:t xml:space="preserve">D5. Epistemic Calibration</w:t>
      </w:r>
    </w:p>
    <w:p>
      <w:pPr>
        <w:spacing w:after="80" w:before="80" w:line="300"/>
        <w:jc w:val="left"/>
      </w:pPr>
      <w:r>
        <w:t xml:space="preserve">Consistency and appropriateness of certainty, uncertainty, and knowledge-boundary marking across the interaction. The primary signal is not factual accuracy by itself, but the fit between the epistemic status of claims and the confidence, uncertainty, limitation, or source-boundary markers attached to them. Epistemic Calibration is analytically separable from topic and register, although empirical relationships among dimensions remain a validation question.</w:t>
      </w:r>
    </w:p>
    <w:p>
      <w:pPr>
        <w:spacing w:after="80" w:before="80" w:line="300"/>
      </w:pPr>
      <w:r>
        <w:rPr>
          <w:b/>
          <w:bCs/>
        </w:rPr>
        <w:t xml:space="preserve">Rater requirement:</w:t>
      </w:r>
      <w:r>
        <w:t xml:space="preserve"> Scoring D5 requires that raters be able to evaluate the epistemic status of substantive claims in the interaction, including whether claims are established, uncertain, speculative, unverifiable from available context, or false. For interactions in specialized domains (technical, medical, legal, scientific), raters should have appropriate domain competence, or D5 scoring should be flagged as provisional. Studies should report the domain competence basis for D5 scoring decisions.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
        <w:gridCol w:w="2160"/>
        <w:gridCol w:w="6480"/>
      </w:tblGrid>
      <w:tr>
        <w:trPr>
          <w:cantSplit/>
          <w:tblHeader/>
        </w:trPr>
        <w:tc>
          <w:tcPr>
            <w:tcW w:type="dxa" w:w="72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Score</w:t>
            </w:r>
          </w:p>
        </w:tc>
        <w:tc>
          <w:tcPr>
            <w:tcW w:type="dxa" w:w="216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Descriptor</w:t>
            </w:r>
          </w:p>
        </w:tc>
        <w:tc>
          <w:tcPr>
            <w:tcW w:type="dxa" w:w="648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Behavioral Anchor</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1</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Severely Miscalibrated</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Frequent unsupported or false claims presented with unwarranted certainty, and/or systematic absence of uncertainty signals where the interaction clearly requires them</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2</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Poorly Calibrated</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Occasional overconfidence; some uncertainty signals but misplaced or inconsistent</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3</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Moderately Calibrated</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Generally appropriate confidence levels; usually signals uncertainty when warranted</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4</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Well Calibrated</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Consistent appropriate marking; clear distinction between known, uncertain, and unknown</w:t>
            </w:r>
          </w:p>
        </w:tc>
      </w:tr>
      <w:tr>
        <w:trPr>
          <w:cantSplit/>
        </w:trPr>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5</w:t>
            </w:r>
          </w:p>
        </w:tc>
        <w:tc>
          <w:tcPr>
            <w:tcW w:type="dxa" w:w="21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Exceptionally Calibrated</w:t>
            </w:r>
          </w:p>
        </w:tc>
        <w:tc>
          <w:tcPr>
            <w:tcW w:type="dxa" w:w="648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Nuanced epistemic distinctions; precisely calibrated to actual knowledge quality</w:t>
            </w:r>
          </w:p>
        </w:tc>
      </w:tr>
    </w:tbl>
    <w:p>
      <w:pPr>
        <w:spacing w:after="80" w:before="80" w:line="300"/>
      </w:pPr>
      <w:r>
        <w:rPr>
          <w:b/>
          <w:bCs/>
        </w:rPr>
        <w:t xml:space="preserve">D5 differs categorically from D1 through D4.</w:t>
      </w:r>
      <w:r>
        <w:t xml:space="preserve"> D1 through D4 assess properties of the interaction trajectory observable from the transcript by a competent reader: topical continuity, cross-turn integration, register stability, and structural maintenance. D5 additionally requires the rater to evaluate the epistemic status of substantive claims, which is a different kind of judgment. D5 may therefore dissociate from D1 through D4 in factor analysis for reasons distinct from the dissociation patterns predicted among D1 through D4. The inclusion of D5 alongside D1 through D4 in the dimensional profile and in the optional composite does not imply that the five dimensions measure the same kind of property.</w:t>
      </w:r>
    </w:p>
    <w:p>
      <w:pPr>
        <w:spacing w:after="80" w:before="80" w:line="300"/>
        <w:jc w:val="left"/>
      </w:pPr>
      <w:r>
        <w:t xml:space="preserve"/>
      </w:r>
    </w:p>
    <w:p>
      <w:pPr>
        <w:pStyle w:val="Heading1"/>
      </w:pPr>
      <w:r>
        <w:t xml:space="preserve">3. Scoring Guidelines</w:t>
      </w:r>
    </w:p>
    <w:p>
      <w:pPr>
        <w:spacing w:after="80" w:before="80" w:line="300"/>
      </w:pPr>
      <w:r>
        <w:rPr>
          <w:b/>
          <w:bCs/>
        </w:rPr>
        <w:t xml:space="preserve">Five-Dimension Profile is Primary:</w:t>
      </w:r>
      <w:r>
        <w:t xml:space="preserve"> The primary MTCS-R result is the five-score dimensional profile (D1, D2, D3, D4, D5). The composite (mean of the five) is a descriptive index for compact reporting only. Always report all five dimension scores; never report the composite alone.</w:t>
      </w:r>
    </w:p>
    <w:p>
      <w:pPr>
        <w:spacing w:after="80" w:before="80" w:line="300"/>
      </w:pPr>
      <w:r>
        <w:rPr>
          <w:b/>
          <w:bCs/>
        </w:rPr>
        <w:t xml:space="preserve">Consider the Entire Conversation:</w:t>
      </w:r>
      <w:r>
        <w:t xml:space="preserve"> Do not focus on individual turns; evaluate overall patterns across the full exchange.</w:t>
      </w:r>
    </w:p>
    <w:p>
      <w:pPr>
        <w:spacing w:after="80" w:before="80" w:line="300"/>
      </w:pPr>
      <w:r>
        <w:rPr>
          <w:b/>
          <w:bCs/>
        </w:rPr>
        <w:t xml:space="preserve">Use the Full 1-5 Scale:</w:t>
      </w:r>
      <w:r>
        <w:t xml:space="preserve"> Do not cluster around 3. Scores of 1 and 5 should be used when the behavioral anchors are met.</w:t>
      </w:r>
    </w:p>
    <w:p>
      <w:pPr>
        <w:spacing w:after="80" w:before="80" w:line="300"/>
      </w:pPr>
      <w:r>
        <w:rPr>
          <w:b/>
          <w:bCs/>
        </w:rPr>
        <w:t xml:space="preserve">Justify Your Scores:</w:t>
      </w:r>
      <w:r>
        <w:t xml:space="preserve"> Always add notes explaining your reasoning, with specific turn references when possible.</w:t>
      </w:r>
    </w:p>
    <w:p>
      <w:pPr>
        <w:spacing w:after="80" w:before="80" w:line="300"/>
      </w:pPr>
      <w:r>
        <w:rPr>
          <w:b/>
          <w:bCs/>
        </w:rPr>
        <w:t xml:space="preserve">Remain Objective:</w:t>
      </w:r>
      <w:r>
        <w:t xml:space="preserve"> Focus on observable behaviors as defined by the anchors, not your personal preferences or topic interest.</w:t>
      </w:r>
    </w:p>
    <w:p>
      <w:pPr>
        <w:spacing w:after="80" w:before="80" w:line="300"/>
      </w:pPr>
      <w:r>
        <w:rPr>
          <w:b/>
          <w:bCs/>
        </w:rPr>
        <w:t xml:space="preserve">When Uncertain:</w:t>
      </w:r>
      <w:r>
        <w:t xml:space="preserve"> Discuss with co-raters during calibration sessions rather than guessing or defaulting to a midpoint score.</w:t>
      </w:r>
    </w:p>
    <w:p>
      <w:pPr>
        <w:spacing w:after="80" w:before="80" w:line="300"/>
      </w:pPr>
      <w:r>
        <w:rPr>
          <w:b/>
          <w:bCs/>
        </w:rPr>
        <w:t xml:space="preserve">Flag D5 Domain-Competence Basis:</w:t>
      </w:r>
      <w:r>
        <w:t xml:space="preserve"> When scoring D5, note whether you have domain competence to evaluate the epistemic status of the claims in the interaction (whether claims are established, uncertain, speculative, unverifiable from available context, or false). If your domain competence is limited or uncertain, flag the D5 score as provisional.</w:t>
      </w:r>
    </w:p>
    <w:p>
      <w:pPr>
        <w:spacing w:after="80" w:before="80" w:line="300"/>
        <w:jc w:val="left"/>
      </w:pPr>
      <w:r>
        <w:t xml:space="preserve"/>
      </w:r>
    </w:p>
    <w:p>
      <w:pPr>
        <w:pStyle w:val="Heading1"/>
      </w:pPr>
      <w:r>
        <w:t xml:space="preserve">4. Annotated Example Transcripts</w:t>
      </w:r>
    </w:p>
    <w:p>
      <w:pPr>
        <w:pStyle w:val="Heading2"/>
      </w:pPr>
      <w:r>
        <w:t xml:space="preserve">Example 1: High Coherence Conversation</w:t>
      </w:r>
    </w:p>
    <w:p>
      <w:pPr>
        <w:spacing w:after="80" w:before="80" w:line="300"/>
      </w:pPr>
      <w:r>
        <w:rPr>
          <w:b/>
          <w:bCs/>
        </w:rPr>
        <w:t xml:space="preserve">Context:</w:t>
      </w:r>
      <w:r>
        <w:t xml:space="preserve"> 22-turn exchange about developing academic citation protocols</w:t>
      </w:r>
    </w:p>
    <w:p>
      <w:pPr>
        <w:spacing w:after="80" w:before="80" w:line="300"/>
      </w:pPr>
      <w:r>
        <w:rPr>
          <w:b/>
          <w:bCs/>
        </w:rPr>
        <w:t xml:space="preserve">Turn 1 (H):</w:t>
      </w:r>
      <w:r>
        <w:t xml:space="preserve"> I need help developing a citation verification system for academic papers.</w:t>
      </w:r>
    </w:p>
    <w:p>
      <w:pPr>
        <w:spacing w:after="80" w:before="80" w:line="300"/>
      </w:pPr>
      <w:r>
        <w:rPr>
          <w:b/>
          <w:bCs/>
        </w:rPr>
        <w:t xml:space="preserve">Turn 7 (H):</w:t>
      </w:r>
      <w:r>
        <w:t xml:space="preserve"> What about handling preprint citations that might have been published since?</w:t>
      </w:r>
    </w:p>
    <w:p>
      <w:pPr>
        <w:spacing w:after="80" w:before="80" w:line="300"/>
      </w:pPr>
      <w:r>
        <w:rPr>
          <w:b/>
          <w:bCs/>
        </w:rPr>
        <w:t xml:space="preserve">Turn 14 (H):</w:t>
      </w:r>
      <w:r>
        <w:t xml:space="preserve"> Can we integrate this with the verification approach from turn 2?</w:t>
      </w:r>
    </w:p>
    <w:p>
      <w:pPr>
        <w:spacing w:after="80" w:before="80" w:line="300"/>
      </w:pPr>
      <w:r>
        <w:rPr>
          <w:b/>
          <w:bCs/>
        </w:rPr>
        <w:t xml:space="preserve">Turn 15 (AI):</w:t>
      </w:r>
      <w:r>
        <w:t xml:space="preserve"> Yes, the initial framework I outlined could incorporate the version-tracking mechanism we discussed for preprints. Specifically, the three-stage verification process from our earlier exchange would add a fourth stage for temporal validity checks...</w:t>
      </w:r>
    </w:p>
    <w:p>
      <w:pPr>
        <w:spacing w:after="80" w:before="80" w:line="300"/>
      </w:pPr>
      <w:r>
        <w:rPr>
          <w:b/>
          <w:bCs/>
        </w:rPr>
        <w:t xml:space="preserve">Turn 22 (AI):</w:t>
      </w:r>
      <w:r>
        <w:t xml:space="preserve"> [Synthesizes entire discussion, references points from turns 2, 8, 14, and 18]</w:t>
      </w:r>
    </w:p>
    <w:p>
      <w:pPr>
        <w:spacing w:after="80" w:before="160"/>
      </w:pPr>
      <w:r>
        <w:rPr>
          <w:b/>
          <w:bCs/>
        </w:rPr>
        <w:t xml:space="preserve">Reference Scores: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20"/>
        <w:gridCol w:w="720"/>
        <w:gridCol w:w="6120"/>
      </w:tblGrid>
      <w:tr>
        <w:trPr>
          <w:cantSplit/>
          <w:tblHeader/>
        </w:trPr>
        <w:tc>
          <w:tcPr>
            <w:tcW w:type="dxa" w:w="252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Dimension</w:t>
            </w:r>
          </w:p>
        </w:tc>
        <w:tc>
          <w:tcPr>
            <w:tcW w:type="dxa" w:w="72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Score</w:t>
            </w:r>
          </w:p>
        </w:tc>
        <w:tc>
          <w:tcPr>
            <w:tcW w:type="dxa" w:w="612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Rationale</w:t>
            </w:r>
          </w:p>
        </w:tc>
      </w:tr>
      <w:tr>
        <w:trPr>
          <w:cantSplit/>
        </w:trPr>
        <w:tc>
          <w:tcPr>
            <w:tcW w:type="dxa" w:w="25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D1: Thematic Persistence</w:t>
            </w:r>
          </w:p>
        </w:tc>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5</w:t>
            </w:r>
          </w:p>
        </w:tc>
        <w:tc>
          <w:tcPr>
            <w:tcW w:type="dxa" w:w="61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Maintained consistent focus on citation verification throughout; natural evolution of scope</w:t>
            </w:r>
          </w:p>
        </w:tc>
      </w:tr>
      <w:tr>
        <w:trPr>
          <w:cantSplit/>
        </w:trPr>
        <w:tc>
          <w:tcPr>
            <w:tcW w:type="dxa" w:w="25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D2: Contextual Integration</w:t>
            </w:r>
          </w:p>
        </w:tc>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5</w:t>
            </w:r>
          </w:p>
        </w:tc>
        <w:tc>
          <w:tcPr>
            <w:tcW w:type="dxa" w:w="61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Turn 15 explicitly integrated turn 2 framework with turn 8 concepts; turn 22 synthesized full arc</w:t>
            </w:r>
          </w:p>
        </w:tc>
      </w:tr>
      <w:tr>
        <w:trPr>
          <w:cantSplit/>
        </w:trPr>
        <w:tc>
          <w:tcPr>
            <w:tcW w:type="dxa" w:w="25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D3: Register Homeostasis</w:t>
            </w:r>
          </w:p>
        </w:tc>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4</w:t>
            </w:r>
          </w:p>
        </w:tc>
        <w:tc>
          <w:tcPr>
            <w:tcW w:type="dxa" w:w="61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Consistently professional/technical register; appropriate complexity maintained throughout</w:t>
            </w:r>
          </w:p>
        </w:tc>
      </w:tr>
      <w:tr>
        <w:trPr>
          <w:cantSplit/>
        </w:trPr>
        <w:tc>
          <w:tcPr>
            <w:tcW w:type="dxa" w:w="25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D4: Meta-Conversational Structuring</w:t>
            </w:r>
          </w:p>
        </w:tc>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4</w:t>
            </w:r>
          </w:p>
        </w:tc>
        <w:tc>
          <w:tcPr>
            <w:tcW w:type="dxa" w:w="61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Explicit structural continuity ('the initial framework I outlined', references to earlier exchanges)</w:t>
            </w:r>
          </w:p>
        </w:tc>
      </w:tr>
      <w:tr>
        <w:trPr>
          <w:cantSplit/>
        </w:trPr>
        <w:tc>
          <w:tcPr>
            <w:tcW w:type="dxa" w:w="25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D5: Epistemic Calibration</w:t>
            </w:r>
          </w:p>
        </w:tc>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4</w:t>
            </w:r>
          </w:p>
        </w:tc>
        <w:tc>
          <w:tcPr>
            <w:tcW w:type="dxa" w:w="61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Appropriately cautious about implementation challenges; clear about established vs. proposed; rated by domain-competent rater</w:t>
            </w:r>
          </w:p>
        </w:tc>
      </w:tr>
    </w:tbl>
    <w:p>
      <w:pPr>
        <w:spacing w:after="80" w:before="80" w:line="300"/>
      </w:pPr>
      <w:r>
        <w:rPr>
          <w:b/>
          <w:bCs/>
        </w:rPr>
        <w:t xml:space="preserve">Composite (descriptive index):</w:t>
      </w:r>
      <w:r>
        <w:t xml:space="preserve"> 4.4 / 5.0</w:t>
      </w:r>
    </w:p>
    <w:p>
      <w:pPr>
        <w:spacing w:after="80" w:before="80" w:line="300"/>
        <w:jc w:val="left"/>
      </w:pPr>
      <w:r>
        <w:t xml:space="preserve"/>
      </w:r>
    </w:p>
    <w:p>
      <w:pPr>
        <w:pStyle w:val="Heading2"/>
      </w:pPr>
      <w:r>
        <w:t xml:space="preserve">Example 2: Low Coherence Conversation</w:t>
      </w:r>
    </w:p>
    <w:p>
      <w:pPr>
        <w:spacing w:after="80" w:before="80" w:line="300"/>
      </w:pPr>
      <w:r>
        <w:rPr>
          <w:b/>
          <w:bCs/>
        </w:rPr>
        <w:t xml:space="preserve">Context:</w:t>
      </w:r>
      <w:r>
        <w:t xml:space="preserve"> 25-turn exchange attempting to discuss project management strategies</w:t>
      </w:r>
    </w:p>
    <w:p>
      <w:pPr>
        <w:spacing w:after="80" w:before="80" w:line="300"/>
      </w:pPr>
      <w:r>
        <w:rPr>
          <w:b/>
          <w:bCs/>
        </w:rPr>
        <w:t xml:space="preserve">Turn 1 (H):</w:t>
      </w:r>
      <w:r>
        <w:t xml:space="preserve"> I need advice on managing a software development project with remote teams.</w:t>
      </w:r>
    </w:p>
    <w:p>
      <w:pPr>
        <w:spacing w:after="80" w:before="80" w:line="300"/>
      </w:pPr>
      <w:r>
        <w:rPr>
          <w:b/>
          <w:bCs/>
        </w:rPr>
        <w:t xml:space="preserve">Turn 10 (H):</w:t>
      </w:r>
      <w:r>
        <w:t xml:space="preserve"> Going back to what we discussed initially...</w:t>
      </w:r>
    </w:p>
    <w:p>
      <w:pPr>
        <w:spacing w:after="80" w:before="80" w:line="300"/>
      </w:pPr>
      <w:r>
        <w:rPr>
          <w:b/>
          <w:bCs/>
        </w:rPr>
        <w:t xml:space="preserve">Turn 11 (AI):</w:t>
      </w:r>
      <w:r>
        <w:t xml:space="preserve"> [Treats question as new, asks for clarification on what was discussed]</w:t>
      </w:r>
    </w:p>
    <w:p>
      <w:pPr>
        <w:spacing w:after="80" w:before="80" w:line="300"/>
      </w:pPr>
      <w:r>
        <w:rPr>
          <w:b/>
          <w:bCs/>
        </w:rPr>
        <w:t xml:space="preserve">Turn 18 (AI):</w:t>
      </w:r>
      <w:r>
        <w:t xml:space="preserve"> [Shifts to very casual tone with colloquialisms]</w:t>
      </w:r>
    </w:p>
    <w:p>
      <w:pPr>
        <w:spacing w:after="80" w:before="80" w:line="300"/>
      </w:pPr>
      <w:r>
        <w:rPr>
          <w:b/>
          <w:bCs/>
        </w:rPr>
        <w:t xml:space="preserve">Turn 22 (AI):</w:t>
      </w:r>
      <w:r>
        <w:t xml:space="preserve"> [Makes confident claim about deployment strategy without uncertainty markers]</w:t>
      </w:r>
    </w:p>
    <w:p>
      <w:pPr>
        <w:spacing w:after="80" w:before="160"/>
      </w:pPr>
      <w:r>
        <w:rPr>
          <w:b/>
          <w:bCs/>
        </w:rPr>
        <w:t xml:space="preserve">Reference Scores: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20"/>
        <w:gridCol w:w="720"/>
        <w:gridCol w:w="6120"/>
      </w:tblGrid>
      <w:tr>
        <w:trPr>
          <w:cantSplit/>
          <w:tblHeader/>
        </w:trPr>
        <w:tc>
          <w:tcPr>
            <w:tcW w:type="dxa" w:w="252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Dimension</w:t>
            </w:r>
          </w:p>
        </w:tc>
        <w:tc>
          <w:tcPr>
            <w:tcW w:type="dxa" w:w="72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Score</w:t>
            </w:r>
          </w:p>
        </w:tc>
        <w:tc>
          <w:tcPr>
            <w:tcW w:type="dxa" w:w="612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Rationale</w:t>
            </w:r>
          </w:p>
        </w:tc>
      </w:tr>
      <w:tr>
        <w:trPr>
          <w:cantSplit/>
        </w:trPr>
        <w:tc>
          <w:tcPr>
            <w:tcW w:type="dxa" w:w="25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D1: Thematic Persistence</w:t>
            </w:r>
          </w:p>
        </w:tc>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2</w:t>
            </w:r>
          </w:p>
        </w:tc>
        <w:tc>
          <w:tcPr>
            <w:tcW w:type="dxa" w:w="61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Topic drifts from remote teams to sprint planning to deployment without coherent arc</w:t>
            </w:r>
          </w:p>
        </w:tc>
      </w:tr>
      <w:tr>
        <w:trPr>
          <w:cantSplit/>
        </w:trPr>
        <w:tc>
          <w:tcPr>
            <w:tcW w:type="dxa" w:w="25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D2: Contextual Integration</w:t>
            </w:r>
          </w:p>
        </w:tc>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2</w:t>
            </w:r>
          </w:p>
        </w:tc>
        <w:tc>
          <w:tcPr>
            <w:tcW w:type="dxa" w:w="61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Turn 11 fails to recall turn 1-2 discussion; primarily reactive to immediate prompt</w:t>
            </w:r>
          </w:p>
        </w:tc>
      </w:tr>
      <w:tr>
        <w:trPr>
          <w:cantSplit/>
        </w:trPr>
        <w:tc>
          <w:tcPr>
            <w:tcW w:type="dxa" w:w="25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D3: Register Homeostasis</w:t>
            </w:r>
          </w:p>
        </w:tc>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2</w:t>
            </w:r>
          </w:p>
        </w:tc>
        <w:tc>
          <w:tcPr>
            <w:tcW w:type="dxa" w:w="61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Noticeable shift to casual tone at turn 18 without contextual or task-phase justification</w:t>
            </w:r>
          </w:p>
        </w:tc>
      </w:tr>
      <w:tr>
        <w:trPr>
          <w:cantSplit/>
        </w:trPr>
        <w:tc>
          <w:tcPr>
            <w:tcW w:type="dxa" w:w="25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D4: Meta-Conversational Structuring</w:t>
            </w:r>
          </w:p>
        </w:tc>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1</w:t>
            </w:r>
          </w:p>
        </w:tc>
        <w:tc>
          <w:tcPr>
            <w:tcW w:type="dxa" w:w="61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No observable structural continuity; prior threads disappear despite user attempt to reference earlier content</w:t>
            </w:r>
          </w:p>
        </w:tc>
      </w:tr>
      <w:tr>
        <w:trPr>
          <w:cantSplit/>
        </w:trPr>
        <w:tc>
          <w:tcPr>
            <w:tcW w:type="dxa" w:w="25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D5: Epistemic Calibration</w:t>
            </w:r>
          </w:p>
        </w:tc>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2</w:t>
            </w:r>
          </w:p>
        </w:tc>
        <w:tc>
          <w:tcPr>
            <w:tcW w:type="dxa" w:w="61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Overconfident claim in turn 22 about deployment without appropriate caveats; rated by domain-competent rater</w:t>
            </w:r>
          </w:p>
        </w:tc>
      </w:tr>
    </w:tbl>
    <w:p>
      <w:pPr>
        <w:spacing w:after="80" w:before="80" w:line="300"/>
      </w:pPr>
      <w:r>
        <w:rPr>
          <w:b/>
          <w:bCs/>
        </w:rPr>
        <w:t xml:space="preserve">Composite (descriptive index):</w:t>
      </w:r>
      <w:r>
        <w:t xml:space="preserve"> 1.8 / 5.0</w:t>
      </w:r>
    </w:p>
    <w:p>
      <w:pPr>
        <w:spacing w:after="80" w:before="80" w:line="300"/>
        <w:jc w:val="left"/>
      </w:pPr>
      <w:r>
        <w:t xml:space="preserve"/>
      </w:r>
    </w:p>
    <w:p>
      <w:pPr>
        <w:pStyle w:val="Heading2"/>
      </w:pPr>
      <w:r>
        <w:t xml:space="preserve">Example 3: Medium Coherence Conversation</w:t>
      </w:r>
    </w:p>
    <w:p>
      <w:pPr>
        <w:spacing w:after="80" w:before="80" w:line="300"/>
      </w:pPr>
      <w:r>
        <w:rPr>
          <w:b/>
          <w:bCs/>
        </w:rPr>
        <w:t xml:space="preserve">Context:</w:t>
      </w:r>
      <w:r>
        <w:t xml:space="preserve"> 20-turn exchange about learning a new programming language</w:t>
      </w:r>
    </w:p>
    <w:p>
      <w:pPr>
        <w:spacing w:after="80" w:before="80" w:line="300"/>
      </w:pPr>
      <w:r>
        <w:rPr>
          <w:b/>
          <w:bCs/>
        </w:rPr>
        <w:t xml:space="preserve">Turn 9 (AI):</w:t>
      </w:r>
      <w:r>
        <w:t xml:space="preserve"> [Explains ownership and borrowing with reference to earlier roadmap]</w:t>
      </w:r>
    </w:p>
    <w:p>
      <w:pPr>
        <w:spacing w:after="80" w:before="80" w:line="300"/>
      </w:pPr>
      <w:r>
        <w:rPr>
          <w:b/>
          <w:bCs/>
        </w:rPr>
        <w:t xml:space="preserve">Turn 20 (AI):</w:t>
      </w:r>
      <w:r>
        <w:t xml:space="preserve"> [Summarizes discussion, though does not explicitly reference turn structure]</w:t>
      </w:r>
    </w:p>
    <w:p>
      <w:pPr>
        <w:spacing w:after="80" w:before="160"/>
      </w:pPr>
      <w:r>
        <w:rPr>
          <w:b/>
          <w:bCs/>
        </w:rPr>
        <w:t xml:space="preserve">Reference Scores: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20"/>
        <w:gridCol w:w="720"/>
        <w:gridCol w:w="6120"/>
      </w:tblGrid>
      <w:tr>
        <w:trPr>
          <w:cantSplit/>
          <w:tblHeader/>
        </w:trPr>
        <w:tc>
          <w:tcPr>
            <w:tcW w:type="dxa" w:w="252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Dimension</w:t>
            </w:r>
          </w:p>
        </w:tc>
        <w:tc>
          <w:tcPr>
            <w:tcW w:type="dxa" w:w="72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Score</w:t>
            </w:r>
          </w:p>
        </w:tc>
        <w:tc>
          <w:tcPr>
            <w:tcW w:type="dxa" w:w="6120"/>
            <w:tcBorders>
              <w:top w:val="single" w:color="BFBFBF" w:sz="4"/>
              <w:left w:val="single" w:color="BFBFBF" w:sz="4"/>
              <w:bottom w:val="single" w:color="BFBFBF" w:sz="4"/>
              <w:right w:val="single" w:color="BFBFBF" w:sz="4"/>
            </w:tcBorders>
            <w:shd w:fill="D9E2F3" w:color="auto" w:val="clear"/>
            <w:tcMar>
              <w:top w:type="dxa" w:w="80"/>
              <w:left w:type="dxa" w:w="120"/>
              <w:bottom w:type="dxa" w:w="80"/>
              <w:right w:type="dxa" w:w="120"/>
            </w:tcMar>
          </w:tcPr>
          <w:p>
            <w:pPr>
              <w:jc w:val="left"/>
            </w:pPr>
            <w:r>
              <w:rPr>
                <w:b/>
                <w:bCs/>
              </w:rPr>
              <w:t xml:space="preserve">Rationale</w:t>
            </w:r>
          </w:p>
        </w:tc>
      </w:tr>
      <w:tr>
        <w:trPr>
          <w:cantSplit/>
        </w:trPr>
        <w:tc>
          <w:tcPr>
            <w:tcW w:type="dxa" w:w="25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D1: Thematic Persistence</w:t>
            </w:r>
          </w:p>
        </w:tc>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4</w:t>
            </w:r>
          </w:p>
        </w:tc>
        <w:tc>
          <w:tcPr>
            <w:tcW w:type="dxa" w:w="61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Stays focused on Rust learning with natural topic evolution</w:t>
            </w:r>
          </w:p>
        </w:tc>
      </w:tr>
      <w:tr>
        <w:trPr>
          <w:cantSplit/>
        </w:trPr>
        <w:tc>
          <w:tcPr>
            <w:tcW w:type="dxa" w:w="25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D2: Contextual Integration</w:t>
            </w:r>
          </w:p>
        </w:tc>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3</w:t>
            </w:r>
          </w:p>
        </w:tc>
        <w:tc>
          <w:tcPr>
            <w:tcW w:type="dxa" w:w="61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Turn 9 references earlier roadmap but limited deep synthesis across conversation</w:t>
            </w:r>
          </w:p>
        </w:tc>
      </w:tr>
      <w:tr>
        <w:trPr>
          <w:cantSplit/>
        </w:trPr>
        <w:tc>
          <w:tcPr>
            <w:tcW w:type="dxa" w:w="25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D3: Register Homeostasis</w:t>
            </w:r>
          </w:p>
        </w:tc>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4</w:t>
            </w:r>
          </w:p>
        </w:tc>
        <w:tc>
          <w:tcPr>
            <w:tcW w:type="dxa" w:w="61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Consistent technical register appropriate for programming discussion</w:t>
            </w:r>
          </w:p>
        </w:tc>
      </w:tr>
      <w:tr>
        <w:trPr>
          <w:cantSplit/>
        </w:trPr>
        <w:tc>
          <w:tcPr>
            <w:tcW w:type="dxa" w:w="25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D4: Meta-Conversational Structuring</w:t>
            </w:r>
          </w:p>
        </w:tc>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3</w:t>
            </w:r>
          </w:p>
        </w:tc>
        <w:tc>
          <w:tcPr>
            <w:tcW w:type="dxa" w:w="61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Turn 20 provides summary but limited explicit structural continuity</w:t>
            </w:r>
          </w:p>
        </w:tc>
      </w:tr>
      <w:tr>
        <w:trPr>
          <w:cantSplit/>
        </w:trPr>
        <w:tc>
          <w:tcPr>
            <w:tcW w:type="dxa" w:w="25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D5: Epistemic Calibration</w:t>
            </w:r>
          </w:p>
        </w:tc>
        <w:tc>
          <w:tcPr>
            <w:tcW w:type="dxa" w:w="7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center"/>
            </w:pPr>
            <w:r>
              <w:t xml:space="preserve">4</w:t>
            </w:r>
          </w:p>
        </w:tc>
        <w:tc>
          <w:tcPr>
            <w:tcW w:type="dxa" w:w="6120"/>
            <w:tcBorders>
              <w:top w:val="single" w:color="BFBFBF" w:sz="4"/>
              <w:left w:val="single" w:color="BFBFBF" w:sz="4"/>
              <w:bottom w:val="single" w:color="BFBFBF" w:sz="4"/>
              <w:right w:val="single" w:color="BFBFBF" w:sz="4"/>
            </w:tcBorders>
            <w:tcMar>
              <w:top w:type="dxa" w:w="80"/>
              <w:left w:type="dxa" w:w="120"/>
              <w:bottom w:type="dxa" w:w="80"/>
              <w:right w:type="dxa" w:w="120"/>
            </w:tcMar>
          </w:tcPr>
          <w:p>
            <w:pPr>
              <w:jc w:val="left"/>
            </w:pPr>
            <w:r>
              <w:t xml:space="preserve">Appropriate caveats about Rust complexity and learning curve; rated by domain-competent rater</w:t>
            </w:r>
          </w:p>
        </w:tc>
      </w:tr>
    </w:tbl>
    <w:p>
      <w:pPr>
        <w:spacing w:after="80" w:before="80" w:line="300"/>
      </w:pPr>
      <w:r>
        <w:rPr>
          <w:b/>
          <w:bCs/>
        </w:rPr>
        <w:t xml:space="preserve">Composite (descriptive index):</w:t>
      </w:r>
      <w:r>
        <w:t xml:space="preserve"> 3.6 / 5.0</w:t>
      </w:r>
    </w:p>
    <w:p>
      <w:pPr>
        <w:spacing w:after="80" w:before="80" w:line="300"/>
        <w:jc w:val="left"/>
      </w:pPr>
      <w:r>
        <w:t xml:space="preserve"/>
      </w:r>
    </w:p>
    <w:p>
      <w:pPr>
        <w:pStyle w:val="Heading1"/>
      </w:pPr>
      <w:r>
        <w:t xml:space="preserve">5. Practice Exercises</w:t>
      </w:r>
    </w:p>
    <w:p>
      <w:pPr>
        <w:spacing w:after="80" w:before="80" w:line="300"/>
        <w:jc w:val="left"/>
      </w:pPr>
      <w:r>
        <w:t xml:space="preserve">Rater calibration requires practice scoring on real interaction transcripts before reliability data can be collected. Practice transcripts are not included in this supplementary package. Validation study coordinators should assemble practice transcripts from their own interaction corpora, selecting conversations that span the full range of coherence levels (high, medium, low) and cover diverse interaction domains.</w:t>
      </w:r>
    </w:p>
    <w:p>
      <w:pPr>
        <w:pStyle w:val="Heading2"/>
      </w:pPr>
      <w:r>
        <w:t xml:space="preserve">Recommended Practice Corpus</w:t>
      </w:r>
    </w:p>
    <w:p>
      <w:pPr>
        <w:spacing w:after="80" w:before="80" w:line="300"/>
        <w:jc w:val="left"/>
      </w:pPr>
      <w:r>
        <w:t xml:space="preserve">A minimum of five transcripts is recommended for initial rater calibration, each exceeding 20 participant turns. The transcripts should vary across at least three of the following domains to test rater generalizability: technical assistance, creative collaboration, educational tutoring, professional consultation, and open-ended discussion. At least one transcript should represent high coherence (expected composite score above 4.0), at least one should represent low coherence (expected composite score below 2.5), and the remainder should fall in the moderate range. For transcripts in specialized domains, ensure at least one rater has the domain competence required for D5 scoring; otherwise flag D5 scores as provisional per Section 3 guidance.</w:t>
      </w:r>
    </w:p>
    <w:p>
      <w:pPr>
        <w:pStyle w:val="Heading2"/>
      </w:pPr>
      <w:r>
        <w:t xml:space="preserve">Calibration Procedure</w:t>
      </w:r>
    </w:p>
    <w:p>
      <w:pPr>
        <w:spacing w:after="80" w:before="80" w:line="300"/>
        <w:jc w:val="left"/>
      </w:pPr>
      <w:r>
        <w:t xml:space="preserve">Each rater scores all practice transcripts independently using the Scoring Template (MTCS-R_Scoring_Template.xlsx). After independent scoring, raters convene for the calibration session described in Section 6. Discrepancies of 2 or more points on any dimension should be discussed until the source of disagreement is identified and resolved through anchor clarification, not through compromise scoring.</w:t>
      </w:r>
    </w:p>
    <w:p>
      <w:pPr>
        <w:spacing w:after="80" w:before="80" w:line="300"/>
        <w:jc w:val="left"/>
      </w:pPr>
      <w:r>
        <w:t xml:space="preserve"/>
      </w:r>
    </w:p>
    <w:p>
      <w:pPr>
        <w:pStyle w:val="Heading1"/>
      </w:pPr>
      <w:r>
        <w:t xml:space="preserve">6. Calibration Discussion Guide</w:t>
      </w:r>
    </w:p>
    <w:p>
      <w:pPr>
        <w:spacing w:after="80" w:before="80" w:line="300"/>
        <w:jc w:val="left"/>
      </w:pPr>
      <w:r>
        <w:t xml:space="preserve">After independent scoring of practice transcripts, conduct calibration sessions to align understanding and improve inter-rater reliability.</w:t>
      </w:r>
    </w:p>
    <w:p>
      <w:pPr>
        <w:pStyle w:val="Heading2"/>
      </w:pPr>
      <w:r>
        <w:t xml:space="preserve">Calibration Session Structure</w:t>
      </w:r>
    </w:p>
    <w:p>
      <w:pPr>
        <w:pStyle w:val="ListParagraph"/>
        <w:numPr>
          <w:ilvl w:val="0"/>
          <w:numId w:val="2"/>
        </w:numPr>
        <w:spacing w:after="40" w:before="40" w:line="280"/>
      </w:pPr>
      <w:r>
        <w:rPr>
          <w:b/>
          <w:bCs/>
        </w:rPr>
        <w:t xml:space="preserve">Compare Scores:</w:t>
      </w:r>
      <w:r>
        <w:t xml:space="preserve"> Share scores for each dimension across all raters</w:t>
      </w:r>
    </w:p>
    <w:p>
      <w:pPr>
        <w:pStyle w:val="ListParagraph"/>
        <w:numPr>
          <w:ilvl w:val="0"/>
          <w:numId w:val="2"/>
        </w:numPr>
        <w:spacing w:after="40" w:before="40" w:line="280"/>
      </w:pPr>
      <w:r>
        <w:rPr>
          <w:b/>
          <w:bCs/>
        </w:rPr>
        <w:t xml:space="preserve">Identify Discrepancies:</w:t>
      </w:r>
      <w:r>
        <w:t xml:space="preserve"> Flag scores that differ by 2+ points</w:t>
      </w:r>
    </w:p>
    <w:p>
      <w:pPr>
        <w:pStyle w:val="ListParagraph"/>
        <w:numPr>
          <w:ilvl w:val="0"/>
          <w:numId w:val="2"/>
        </w:numPr>
        <w:spacing w:after="40" w:before="40" w:line="280"/>
      </w:pPr>
      <w:r>
        <w:rPr>
          <w:b/>
          <w:bCs/>
        </w:rPr>
        <w:t xml:space="preserve">Discussion:</w:t>
      </w:r>
      <w:r>
        <w:t xml:space="preserve"> Each rater explains their reasoning for disputed scores</w:t>
      </w:r>
    </w:p>
    <w:p>
      <w:pPr>
        <w:pStyle w:val="ListParagraph"/>
        <w:numPr>
          <w:ilvl w:val="0"/>
          <w:numId w:val="2"/>
        </w:numPr>
        <w:spacing w:after="40" w:before="40" w:line="280"/>
      </w:pPr>
      <w:r>
        <w:rPr>
          <w:b/>
          <w:bCs/>
        </w:rPr>
        <w:t xml:space="preserve">Consensus Building:</w:t>
      </w:r>
      <w:r>
        <w:t xml:space="preserve"> Discuss until agreement on scoring rationale (not necessarily identical scores)</w:t>
      </w:r>
    </w:p>
    <w:p>
      <w:pPr>
        <w:pStyle w:val="ListParagraph"/>
        <w:numPr>
          <w:ilvl w:val="0"/>
          <w:numId w:val="2"/>
        </w:numPr>
        <w:spacing w:after="40" w:before="40" w:line="280"/>
      </w:pPr>
      <w:r>
        <w:rPr>
          <w:b/>
          <w:bCs/>
        </w:rPr>
        <w:t xml:space="preserve">Document Decisions:</w:t>
      </w:r>
      <w:r>
        <w:t xml:space="preserve"> Record clarifications or anchor refinements for future reference</w:t>
      </w:r>
    </w:p>
    <w:p>
      <w:pPr>
        <w:pStyle w:val="ListParagraph"/>
        <w:numPr>
          <w:ilvl w:val="0"/>
          <w:numId w:val="2"/>
        </w:numPr>
        <w:spacing w:after="40" w:before="40" w:line="280"/>
      </w:pPr>
      <w:r>
        <w:rPr>
          <w:b/>
          <w:bCs/>
        </w:rPr>
        <w:t xml:space="preserve">Calculate Reliability:</w:t>
      </w:r>
      <w:r>
        <w:t xml:space="preserve"> Compute ICC(2,k) or Krippendorff's alpha</w:t>
      </w:r>
    </w:p>
    <w:p>
      <w:pPr>
        <w:pStyle w:val="Heading2"/>
      </w:pPr>
      <w:r>
        <w:t xml:space="preserve">Discussion Questions for Each Dimension</w:t>
      </w:r>
    </w:p>
    <w:p>
      <w:pPr>
        <w:pStyle w:val="ListParagraph"/>
        <w:numPr>
          <w:ilvl w:val="0"/>
          <w:numId w:val="2"/>
        </w:numPr>
        <w:spacing w:after="40" w:before="40" w:line="280"/>
      </w:pPr>
      <w:r>
        <w:t xml:space="preserve">What specific turns influenced your score?</w:t>
      </w:r>
    </w:p>
    <w:p>
      <w:pPr>
        <w:pStyle w:val="ListParagraph"/>
        <w:numPr>
          <w:ilvl w:val="0"/>
          <w:numId w:val="2"/>
        </w:numPr>
        <w:spacing w:after="40" w:before="40" w:line="280"/>
      </w:pPr>
      <w:r>
        <w:t xml:space="preserve">Where is the boundary between scores 3 and 4 for this dimension?</w:t>
      </w:r>
    </w:p>
    <w:p>
      <w:pPr>
        <w:pStyle w:val="ListParagraph"/>
        <w:numPr>
          <w:ilvl w:val="0"/>
          <w:numId w:val="2"/>
        </w:numPr>
        <w:spacing w:after="40" w:before="40" w:line="280"/>
      </w:pPr>
      <w:r>
        <w:t xml:space="preserve">Did you weigh certain parts of the conversation more heavily? Why?</w:t>
      </w:r>
    </w:p>
    <w:p>
      <w:pPr>
        <w:pStyle w:val="ListParagraph"/>
        <w:numPr>
          <w:ilvl w:val="0"/>
          <w:numId w:val="2"/>
        </w:numPr>
        <w:spacing w:after="40" w:before="40" w:line="280"/>
      </w:pPr>
      <w:r>
        <w:t xml:space="preserve">What evidence would change your score by one point?</w:t>
      </w:r>
    </w:p>
    <w:p>
      <w:pPr>
        <w:pStyle w:val="ListParagraph"/>
        <w:numPr>
          <w:ilvl w:val="0"/>
          <w:numId w:val="2"/>
        </w:numPr>
        <w:spacing w:after="40" w:before="40" w:line="280"/>
      </w:pPr>
      <w:r>
        <w:t xml:space="preserve">For D5: do you have the domain competence required to evaluate the epistemic status of the substantive claims in this transcript?</w:t>
      </w:r>
    </w:p>
    <w:p>
      <w:pPr>
        <w:pStyle w:val="Heading2"/>
      </w:pPr>
      <w:r>
        <w:t xml:space="preserve">Target Reliability</w:t>
      </w:r>
    </w:p>
    <w:p>
      <w:pPr>
        <w:spacing w:after="80" w:before="80" w:line="300"/>
        <w:jc w:val="left"/>
      </w:pPr>
      <w:r>
        <w:t xml:space="preserve">Reliability is assessed using intraclass correlation coefficients (Shrout and Fleiss, 1979), specifically ICC(2,k) for designs where raters are sampled from a larger population. Following the conventional thresholds proposed by Cicchetti (1994) for behavioral and clinical rating instruments, target reliability is ICC or equivalent agreement coefficient greater than 0.60 (good agreement) or greater than 0.75 (excellent agreement). The 0.60 floor is the minimum threshold below which anchor revision is mandatory rather than an acceptance target. Anchors that produce low agreement are revised through calibration sessions and re-tested.</w:t>
      </w:r>
    </w:p>
    <w:p>
      <w:pPr>
        <w:spacing w:after="80" w:before="80" w:line="300"/>
        <w:jc w:val="left"/>
      </w:pPr>
      <w:r>
        <w:t xml:space="preserve"/>
      </w:r>
    </w:p>
    <w:p>
      <w:pPr>
        <w:pStyle w:val="Heading1"/>
      </w:pPr>
      <w:r>
        <w:t xml:space="preserve">7. Pre-Phase 2 Status of MTCS-R</w:t>
      </w:r>
    </w:p>
    <w:p>
      <w:pPr>
        <w:spacing w:after="80" w:before="80" w:line="300"/>
        <w:jc w:val="left"/>
      </w:pPr>
      <w:r>
        <w:t xml:space="preserve">MTCS-R has not yet undergone empirical validation. The behavioral anchors in this packet, the Scoring Template, and the dimensional profile reporting format all assume that the proposed five-factor structure (D1, D2, D3, D4, D5) is approximately correct. This is a theoretically motivated and practitioner-refined assumption, not an empirically confirmed one. If Phase 2 factor analysis (SF0004, Section 9.2) does not confirm the five-factor structure, the anchors, training materials, and scoring template would all require substantive revision rather than incremental adjustment, and the proposed decomposition of longitudinal coherence into the specific five dimensions named here would require restatement.</w:t>
      </w:r>
    </w:p>
    <w:p>
      <w:pPr>
        <w:spacing w:after="80" w:before="80" w:line="300"/>
        <w:jc w:val="left"/>
      </w:pPr>
      <w:r>
        <w:t xml:space="preserve">Pre-Phase 2 use of MTCS-R should therefore be characterized explicitly as use of an instrument whose factor structure is theoretically motivated and practitioner-refined but not empirically confirmed. Studies conducted prior to Phase 2 should report scores accordingly, and should treat pre-Phase 2 results as exploratory evidence about the proposed structure as well as about the interactions being scored. This packet supports the structured rating activity that Phase 1 (inter-rater reliability) and Phase 2 (factor structure and convergent validity) require as their starting point.</w:t>
      </w:r>
    </w:p>
    <w:p>
      <w:pPr>
        <w:spacing w:after="80" w:before="80" w:line="300"/>
        <w:jc w:val="left"/>
      </w:pPr>
      <w:r>
        <w:t xml:space="preserve"/>
      </w:r>
    </w:p>
    <w:p>
      <w:pPr>
        <w:pStyle w:val="Heading1"/>
      </w:pPr>
      <w:r>
        <w:t xml:space="preserve">8. Reference Materials</w:t>
      </w:r>
    </w:p>
    <w:p>
      <w:pPr>
        <w:spacing w:after="80" w:before="80" w:line="300"/>
      </w:pPr>
      <w:r>
        <w:rPr>
          <w:b/>
          <w:bCs/>
        </w:rPr>
        <w:t xml:space="preserve">Primary Documentation:</w:t>
      </w:r>
      <w:r>
        <w:t xml:space="preserve"> SF0004, Measurement Instruments and Validation Protocols (MTCS-R)</w:t>
      </w:r>
    </w:p>
    <w:p>
      <w:pPr>
        <w:spacing w:after="80" w:before="80" w:line="300"/>
      </w:pPr>
      <w:r>
        <w:rPr>
          <w:b/>
          <w:bCs/>
        </w:rPr>
        <w:t xml:space="preserve">Scoring Template:</w:t>
      </w:r>
      <w:r>
        <w:t xml:space="preserve"> MTCS-R_Scoring_Template.xlsx (Excel workbook with forms and calculators)</w:t>
      </w:r>
    </w:p>
    <w:p>
      <w:pPr>
        <w:spacing w:after="80" w:before="80" w:line="300"/>
      </w:pPr>
      <w:r>
        <w:rPr>
          <w:b/>
          <w:bCs/>
        </w:rPr>
        <w:t xml:space="preserve">Code Examples:</w:t>
      </w:r>
      <w:r>
        <w:t xml:space="preserve"> MTCS-R-Code-Examples_v3_5.zip (computational analysis tools and reliability calculation)</w:t>
      </w:r>
    </w:p>
    <w:p>
      <w:pPr>
        <w:spacing w:after="80" w:before="80" w:line="300"/>
      </w:pPr>
      <w:r>
        <w:rPr>
          <w:b/>
          <w:bCs/>
        </w:rPr>
        <w:t xml:space="preserve">Related Observational Framework:</w:t>
      </w:r>
      <w:r>
        <w:t xml:space="preserve"> SR0001, RICO Technical Report (DOI: 10.5281/zenodo.18086834)</w:t>
      </w:r>
    </w:p>
    <w:p>
      <w:pPr>
        <w:spacing w:after="80" w:before="80" w:line="300"/>
      </w:pPr>
      <w:r>
        <w:rPr>
          <w:b/>
          <w:bCs/>
        </w:rPr>
        <w:t xml:space="preserve">Verification Protocol:</w:t>
      </w:r>
      <w:r>
        <w:t xml:space="preserve"> SF0037, Citation Verification Protocol (DOI: 10.5281/zenodo.18075624)</w:t>
      </w:r>
    </w:p>
    <w:p>
      <w:pPr>
        <w:spacing w:after="80" w:before="80" w:line="300"/>
      </w:pPr>
      <w:r>
        <w:rPr>
          <w:b/>
          <w:bCs/>
        </w:rPr>
        <w:t xml:space="preserve">Related Construct:</w:t>
      </w:r>
      <w:r>
        <w:t xml:space="preserve"> SF0039, Context Representation Drift (DOI: 10.5281/zenodo.18289391)</w:t>
      </w:r>
    </w:p>
    <w:p>
      <w:pPr>
        <w:spacing w:after="80" w:before="80" w:line="300"/>
      </w:pPr>
      <w:r>
        <w:rPr>
          <w:b/>
          <w:bCs/>
        </w:rPr>
        <w:t xml:space="preserve">Methodological Reference:</w:t>
      </w:r>
      <w:r>
        <w:t xml:space="preserve"> Cicchetti, D. V. (1994). Guidelines, Criteria, and Rules of Thumb for Evaluating Normed and Standardized Assessment Instruments in Psychology. Psychological Assessment, 6(4), 284-290. https://doi.org/10.1037/1040-3590.6.4.284</w:t>
      </w:r>
    </w:p>
    <w:p>
      <w:pPr>
        <w:spacing w:after="80" w:before="80" w:line="300"/>
      </w:pPr>
      <w:r>
        <w:rPr>
          <w:b/>
          <w:bCs/>
        </w:rPr>
        <w:t xml:space="preserve">Methodological Reference:</w:t>
      </w:r>
      <w:r>
        <w:t xml:space="preserve"> Shrout, P. E. &amp; Fleiss, J. L. (1979). Intraclass correlations: Uses in assessing rater reliability. Psychological Bulletin, 86(2), 420-428. https://doi.org/10.1037/0033-2909.86.2.420</w:t>
      </w:r>
    </w:p>
    <w:p>
      <w:pPr>
        <w:spacing w:after="80" w:before="80" w:line="300"/>
      </w:pPr>
      <w:r>
        <w:rPr>
          <w:b/>
          <w:bCs/>
        </w:rPr>
        <w:t xml:space="preserve">Contact:</w:t>
      </w:r>
      <w:r>
        <w:t xml:space="preserve"> research@synthience.org</w:t>
      </w:r>
    </w:p>
    <w:p>
      <w:pPr>
        <w:spacing w:after="80" w:before="80" w:line="300"/>
      </w:pPr>
      <w:r>
        <w:rPr>
          <w:b/>
          <w:bCs/>
        </w:rPr>
        <w:t xml:space="preserve">Documentation:</w:t>
      </w:r>
      <w:r>
        <w:t xml:space="preserve"> https://synthience.org</w:t>
      </w:r>
    </w:p>
    <w:p>
      <w:pPr>
        <w:spacing w:after="80" w:before="80" w:line="300"/>
        <w:jc w:val="left"/>
      </w:pPr>
      <w:r>
        <w:t xml:space="preserve"/>
      </w:r>
    </w:p>
    <w:p>
      <w:pPr>
        <w:spacing w:after="80" w:before="240"/>
        <w:jc w:val="center"/>
      </w:pPr>
      <w:r>
        <w:rPr>
          <w:color w:val="666666"/>
          <w:sz w:val="18"/>
          <w:szCs w:val="18"/>
        </w:rPr>
        <w:t xml:space="preserve">© 2026 Thomas W. Gantz / Synthience Institute  |  License: CC-BY 4.0</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8"/>
        <w:szCs w:val="18"/>
      </w:rPr>
      <w:t xml:space="preserve">Synthience Institute  |  synthience.org  |  SF0004 Companion Material  |  v3.4  |  Page </w:t>
    </w:r>
    <w:r>
      <w:rPr>
        <w:color w:val="808080"/>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F3864"/>
      <w:sz w:val="30"/>
      <w:szCs w:val="30"/>
    </w:rPr>
  </w:style>
  <w:style w:type="paragraph" w:styleId="Heading2">
    <w:name w:val="Heading 2"/>
    <w:basedOn w:val="Normal"/>
    <w:next w:val="Normal"/>
    <w:qFormat/>
    <w:pPr>
      <w:spacing w:after="120" w:before="240"/>
      <w:outlineLvl w:val="1"/>
    </w:pPr>
    <w:rPr>
      <w:rFonts w:ascii="Arial" w:cs="Arial" w:eastAsia="Arial" w:hAnsi="Arial"/>
      <w:b/>
      <w:bCs/>
      <w:color w:val="2E75B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MTCS-R Rater Training Packet v3.4</dc:title>
  <dc:creator>Thomas W. Gantz</dc:creator>
  <dc:description>SF0004 Companion Material</dc:description>
  <cp:lastModifiedBy>Un-named</cp:lastModifiedBy>
  <cp:revision>1</cp:revision>
  <dcterms:created xsi:type="dcterms:W3CDTF">2026-05-06T11:28:04.261Z</dcterms:created>
  <dcterms:modified xsi:type="dcterms:W3CDTF">2026-05-06T11:28:04.274Z</dcterms:modified>
</cp:coreProperties>
</file>

<file path=docProps/custom.xml><?xml version="1.0" encoding="utf-8"?>
<Properties xmlns="http://schemas.openxmlformats.org/officeDocument/2006/custom-properties" xmlns:vt="http://schemas.openxmlformats.org/officeDocument/2006/docPropsVTypes"/>
</file>